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95AD" w14:textId="77777777" w:rsidR="007048C9" w:rsidRPr="007048C9" w:rsidRDefault="007048C9" w:rsidP="00535623">
      <w:pPr>
        <w:spacing w:beforeLines="20" w:before="48" w:after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048C9">
        <w:rPr>
          <w:rFonts w:ascii="Times New Roman" w:hAnsi="Times New Roman"/>
          <w:b/>
          <w:i/>
          <w:color w:val="FF0000"/>
          <w:sz w:val="24"/>
          <w:szCs w:val="24"/>
        </w:rPr>
        <w:t>ВНИМАНИЕ!</w:t>
      </w:r>
    </w:p>
    <w:p w14:paraId="38C7AB0E" w14:textId="26041B11" w:rsidR="00330A53" w:rsidRDefault="007048C9" w:rsidP="00535623">
      <w:pPr>
        <w:spacing w:beforeLines="20" w:before="48" w:after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048C9">
        <w:rPr>
          <w:rFonts w:ascii="Times New Roman" w:hAnsi="Times New Roman"/>
          <w:b/>
          <w:i/>
          <w:color w:val="FF0000"/>
          <w:sz w:val="24"/>
          <w:szCs w:val="24"/>
        </w:rPr>
        <w:t xml:space="preserve">ДАННЫЙ ДОКУМЕНТ </w:t>
      </w:r>
      <w:r w:rsidR="00330A53">
        <w:rPr>
          <w:rFonts w:ascii="Times New Roman" w:hAnsi="Times New Roman"/>
          <w:b/>
          <w:i/>
          <w:color w:val="FF0000"/>
          <w:sz w:val="24"/>
          <w:szCs w:val="24"/>
        </w:rPr>
        <w:t>СОД</w:t>
      </w:r>
      <w:r w:rsidR="00AD2750">
        <w:rPr>
          <w:rFonts w:ascii="Times New Roman" w:hAnsi="Times New Roman"/>
          <w:b/>
          <w:i/>
          <w:color w:val="FF0000"/>
          <w:sz w:val="24"/>
          <w:szCs w:val="24"/>
        </w:rPr>
        <w:t>Е</w:t>
      </w:r>
      <w:r w:rsidR="00330A53">
        <w:rPr>
          <w:rFonts w:ascii="Times New Roman" w:hAnsi="Times New Roman"/>
          <w:b/>
          <w:i/>
          <w:color w:val="FF0000"/>
          <w:sz w:val="24"/>
          <w:szCs w:val="24"/>
        </w:rPr>
        <w:t>РЖИТ ОБЩИЙ ПЕРЕЧЕНЬ ДАННЫХ, КОТОРЫЕ ДОЛЖНЫ БЫТЬ</w:t>
      </w:r>
      <w:r w:rsidRPr="007048C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30A53">
        <w:rPr>
          <w:rFonts w:ascii="Times New Roman" w:hAnsi="Times New Roman"/>
          <w:b/>
          <w:i/>
          <w:color w:val="FF0000"/>
          <w:sz w:val="24"/>
          <w:szCs w:val="24"/>
        </w:rPr>
        <w:t>ОТРАЖЕНЫ В ПРОТОКОЛЕ НАУЧНОГО ИССЛЕДОВАНИЯ.</w:t>
      </w:r>
    </w:p>
    <w:p w14:paraId="65D4CAB4" w14:textId="6F7DEBA5" w:rsidR="007048C9" w:rsidRPr="007048C9" w:rsidRDefault="00330A53" w:rsidP="00535623">
      <w:pPr>
        <w:spacing w:beforeLines="20" w:before="48"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ДОКУМЕНТ ДОЛЖЕН БЫТЬ</w:t>
      </w:r>
      <w:r w:rsidR="007048C9" w:rsidRPr="007048C9">
        <w:rPr>
          <w:rFonts w:ascii="Times New Roman" w:hAnsi="Times New Roman"/>
          <w:b/>
          <w:i/>
          <w:color w:val="FF0000"/>
          <w:sz w:val="24"/>
          <w:szCs w:val="24"/>
        </w:rPr>
        <w:t xml:space="preserve"> СКОРРЕКТИРОВАН В СООТВЕТСВИИ С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ОСОБЕННОСТЯМИ</w:t>
      </w:r>
      <w:r w:rsidR="007048C9" w:rsidRPr="007048C9">
        <w:rPr>
          <w:rFonts w:ascii="Times New Roman" w:hAnsi="Times New Roman"/>
          <w:b/>
          <w:i/>
          <w:color w:val="FF0000"/>
          <w:sz w:val="24"/>
          <w:szCs w:val="24"/>
        </w:rPr>
        <w:t xml:space="preserve"> КОНКРЕТНОГО НАУЧНОГО ИССЛЕДОВАНИЯ!</w:t>
      </w:r>
    </w:p>
    <w:p w14:paraId="29161BF0" w14:textId="77777777" w:rsidR="007048C9" w:rsidRDefault="007048C9" w:rsidP="00535623">
      <w:pPr>
        <w:spacing w:beforeLines="20" w:before="48" w:after="0"/>
        <w:rPr>
          <w:rFonts w:ascii="Times New Roman" w:hAnsi="Times New Roman"/>
          <w:b/>
          <w:i/>
          <w:sz w:val="24"/>
          <w:szCs w:val="24"/>
        </w:rPr>
      </w:pPr>
    </w:p>
    <w:p w14:paraId="00C33483" w14:textId="2F714FFB" w:rsidR="00615565" w:rsidRPr="00BD78F4" w:rsidRDefault="00602648" w:rsidP="00535623">
      <w:pPr>
        <w:spacing w:beforeLines="20" w:before="48" w:after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BD78F4">
        <w:rPr>
          <w:rFonts w:ascii="Times New Roman" w:hAnsi="Times New Roman"/>
          <w:b/>
          <w:i/>
          <w:sz w:val="24"/>
          <w:szCs w:val="24"/>
        </w:rPr>
        <w:t>КОММЕНТАРИИ</w:t>
      </w:r>
      <w:r w:rsidR="002000F3" w:rsidRPr="00BD78F4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615565" w:rsidRPr="00BD78F4" w14:paraId="440B9EBF" w14:textId="77777777" w:rsidTr="002F4A59">
        <w:tc>
          <w:tcPr>
            <w:tcW w:w="10456" w:type="dxa"/>
          </w:tcPr>
          <w:p w14:paraId="5BC2322C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  <w:i/>
              </w:rPr>
            </w:pPr>
            <w:r w:rsidRPr="00986777">
              <w:rPr>
                <w:rFonts w:ascii="Times New Roman" w:hAnsi="Times New Roman"/>
                <w:i/>
                <w:color w:val="FF0000"/>
              </w:rPr>
              <w:t xml:space="preserve">Текст-инструкция приведен </w:t>
            </w:r>
            <w:r w:rsidR="002E5C5D" w:rsidRPr="00986777">
              <w:rPr>
                <w:rFonts w:ascii="Times New Roman" w:hAnsi="Times New Roman"/>
                <w:i/>
                <w:color w:val="FF0000"/>
              </w:rPr>
              <w:t>курсивом</w:t>
            </w:r>
          </w:p>
        </w:tc>
      </w:tr>
      <w:tr w:rsidR="00615565" w:rsidRPr="00BD78F4" w14:paraId="04DB9A7F" w14:textId="77777777" w:rsidTr="002F4A59">
        <w:tc>
          <w:tcPr>
            <w:tcW w:w="10456" w:type="dxa"/>
          </w:tcPr>
          <w:p w14:paraId="0CD5E5BF" w14:textId="77777777" w:rsidR="00615565" w:rsidRPr="00BD78F4" w:rsidRDefault="00615565" w:rsidP="00535623">
            <w:pPr>
              <w:spacing w:beforeLines="20" w:before="48" w:after="0"/>
              <w:rPr>
                <w:rFonts w:ascii="Times New Roman" w:hAnsi="Times New Roman"/>
              </w:rPr>
            </w:pPr>
            <w:r w:rsidRPr="00BD78F4">
              <w:rPr>
                <w:rFonts w:ascii="Times New Roman" w:hAnsi="Times New Roman"/>
              </w:rPr>
              <w:t>Текст-шаблон – обычным шрифтом</w:t>
            </w:r>
          </w:p>
        </w:tc>
      </w:tr>
    </w:tbl>
    <w:p w14:paraId="508F9AB7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</w:p>
    <w:p w14:paraId="171D21DB" w14:textId="36BFDF31" w:rsidR="00330A53" w:rsidRDefault="00330A53" w:rsidP="00330A53">
      <w:pPr>
        <w:pStyle w:val="af5"/>
        <w:spacing w:before="0" w:beforeAutospacing="0" w:after="0" w:afterAutospacing="0"/>
        <w:jc w:val="both"/>
      </w:pPr>
      <w:r>
        <w:t>1. Общая информация</w:t>
      </w:r>
    </w:p>
    <w:p w14:paraId="183D37F2" w14:textId="526E263B" w:rsidR="00AD2750" w:rsidRDefault="00330A53" w:rsidP="00330A53">
      <w:pPr>
        <w:pStyle w:val="af5"/>
        <w:spacing w:before="0" w:beforeAutospacing="0" w:after="0" w:afterAutospacing="0"/>
        <w:jc w:val="both"/>
      </w:pPr>
      <w:r>
        <w:t xml:space="preserve">1.1. Название </w:t>
      </w:r>
      <w:r w:rsidR="00AD2750">
        <w:t xml:space="preserve">научного </w:t>
      </w:r>
      <w:r>
        <w:t>исследования</w:t>
      </w:r>
      <w:r w:rsidR="00AD2750">
        <w:t>, проводимого в рамках диссертационной работы</w:t>
      </w:r>
      <w:r>
        <w:t xml:space="preserve">, идентификационный номер протокола и дата </w:t>
      </w:r>
      <w:r w:rsidR="00AD2750">
        <w:t>документа</w:t>
      </w:r>
      <w:r>
        <w:t>.</w:t>
      </w:r>
    </w:p>
    <w:p w14:paraId="53A87D3D" w14:textId="66BD8EB5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i/>
        </w:rPr>
      </w:pPr>
      <w:r w:rsidRPr="00F86174">
        <w:rPr>
          <w:i/>
          <w:color w:val="FF0000"/>
        </w:rPr>
        <w:t xml:space="preserve">Любая поправка </w:t>
      </w:r>
      <w:r w:rsidRPr="00F86174">
        <w:rPr>
          <w:i/>
          <w:color w:val="FF0000"/>
        </w:rPr>
        <w:t xml:space="preserve">к протоколу исследования </w:t>
      </w:r>
      <w:r w:rsidRPr="00F86174">
        <w:rPr>
          <w:i/>
          <w:color w:val="FF0000"/>
        </w:rPr>
        <w:t>также должна иметь номер и дату.</w:t>
      </w:r>
    </w:p>
    <w:p w14:paraId="2EA2566D" w14:textId="2DD233A1" w:rsidR="00330A53" w:rsidRDefault="00330A53" w:rsidP="00330A53">
      <w:pPr>
        <w:pStyle w:val="af5"/>
        <w:spacing w:before="0" w:beforeAutospacing="0" w:after="0" w:afterAutospacing="0"/>
        <w:jc w:val="both"/>
      </w:pPr>
      <w:r>
        <w:t>1.</w:t>
      </w:r>
      <w:r w:rsidR="00F86174">
        <w:t>2</w:t>
      </w:r>
      <w:r>
        <w:t xml:space="preserve">. Фамилии и должности </w:t>
      </w:r>
      <w:r w:rsidR="00AD2750">
        <w:t xml:space="preserve">исследователя, научного руководителя и научного консультанта </w:t>
      </w:r>
      <w:r w:rsidR="00AD2750" w:rsidRPr="00AD2750">
        <w:rPr>
          <w:i/>
          <w:color w:val="FF0000"/>
        </w:rPr>
        <w:t>(если применимо)</w:t>
      </w:r>
      <w:r>
        <w:t xml:space="preserve">, отвечающих за проведение </w:t>
      </w:r>
      <w:r w:rsidR="00AD2750">
        <w:t xml:space="preserve">научного </w:t>
      </w:r>
      <w:r>
        <w:t xml:space="preserve">исследования, а также адрес и номер </w:t>
      </w:r>
      <w:r w:rsidR="00AD2750">
        <w:t>телефона клинического центра</w:t>
      </w:r>
      <w:r>
        <w:t>.</w:t>
      </w:r>
    </w:p>
    <w:p w14:paraId="67131C7C" w14:textId="27DD0D27" w:rsidR="00330A53" w:rsidRDefault="00330A53" w:rsidP="00330A53">
      <w:pPr>
        <w:pStyle w:val="af5"/>
        <w:spacing w:before="0" w:beforeAutospacing="0" w:after="0" w:afterAutospacing="0"/>
        <w:jc w:val="both"/>
      </w:pPr>
      <w:r>
        <w:t>1.</w:t>
      </w:r>
      <w:r w:rsidR="00F86174">
        <w:t>3</w:t>
      </w:r>
      <w:r>
        <w:t>. Наименования и адреса клинических лабораторий и других медицинских, а также технических служб и (или) организаций, вовлеченных в исследование</w:t>
      </w:r>
      <w:r w:rsidR="00AD2750">
        <w:t xml:space="preserve"> </w:t>
      </w:r>
      <w:r w:rsidR="00AD2750" w:rsidRPr="00F86174">
        <w:rPr>
          <w:i/>
          <w:color w:val="FF0000"/>
        </w:rPr>
        <w:t>(если применимо)</w:t>
      </w:r>
      <w:r>
        <w:t>.</w:t>
      </w:r>
    </w:p>
    <w:p w14:paraId="6338A094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0E753E50" w14:textId="4B16FF5D" w:rsidR="00330A53" w:rsidRDefault="00330A53" w:rsidP="00330A53">
      <w:pPr>
        <w:pStyle w:val="af5"/>
        <w:spacing w:before="0" w:beforeAutospacing="0" w:after="0" w:afterAutospacing="0"/>
        <w:jc w:val="both"/>
      </w:pPr>
      <w:r>
        <w:t>2. Обоснование исследования</w:t>
      </w:r>
    </w:p>
    <w:p w14:paraId="42E42FCB" w14:textId="0FABC15B" w:rsidR="00330A53" w:rsidRDefault="00330A53" w:rsidP="00330A53">
      <w:pPr>
        <w:pStyle w:val="af5"/>
        <w:spacing w:before="0" w:beforeAutospacing="0" w:after="0" w:afterAutospacing="0"/>
        <w:jc w:val="both"/>
      </w:pPr>
      <w:r>
        <w:t>2.1. Наименование и описание исследуемых препаратов</w:t>
      </w:r>
      <w:r w:rsidR="00AD2750">
        <w:t>/изучаемой методики</w:t>
      </w:r>
      <w:r w:rsidR="00D5251B">
        <w:t>/другое</w:t>
      </w:r>
      <w:r>
        <w:t>.</w:t>
      </w:r>
    </w:p>
    <w:p w14:paraId="757C0710" w14:textId="1895666B" w:rsidR="00330A53" w:rsidRDefault="00330A53" w:rsidP="00330A53">
      <w:pPr>
        <w:pStyle w:val="af5"/>
        <w:spacing w:before="0" w:beforeAutospacing="0" w:after="0" w:afterAutospacing="0"/>
        <w:jc w:val="both"/>
      </w:pPr>
      <w:r>
        <w:t>2.</w:t>
      </w:r>
      <w:r w:rsidR="00F86174">
        <w:t>2</w:t>
      </w:r>
      <w:r>
        <w:t>. Краткое описание известных и потенциальных рисков и пользы для субъектов исследования (при наличии).</w:t>
      </w:r>
    </w:p>
    <w:p w14:paraId="3227EA0C" w14:textId="70043C59" w:rsidR="00330A53" w:rsidRDefault="00330A53" w:rsidP="00330A53">
      <w:pPr>
        <w:pStyle w:val="af5"/>
        <w:spacing w:before="0" w:beforeAutospacing="0" w:after="0" w:afterAutospacing="0"/>
        <w:jc w:val="both"/>
      </w:pPr>
      <w:r>
        <w:t>2.</w:t>
      </w:r>
      <w:r w:rsidR="00F86174">
        <w:t>3</w:t>
      </w:r>
      <w:r>
        <w:t>. Описание и обоснование способа введения</w:t>
      </w:r>
      <w:r w:rsidR="00AD2750">
        <w:t xml:space="preserve"> исследуемых препаратов</w:t>
      </w:r>
      <w:r>
        <w:t>, дозировки, режима дозирования и курса лечения</w:t>
      </w:r>
      <w:r w:rsidR="00AD2750">
        <w:t>/описание и обоснование применения изучаемой методики</w:t>
      </w:r>
      <w:r w:rsidR="00D5251B">
        <w:t>/другое</w:t>
      </w:r>
      <w:r w:rsidR="00AD2750">
        <w:t>.</w:t>
      </w:r>
    </w:p>
    <w:p w14:paraId="404AA44D" w14:textId="347A4F11" w:rsidR="00330A53" w:rsidRDefault="00330A53" w:rsidP="00330A53">
      <w:pPr>
        <w:pStyle w:val="af5"/>
        <w:spacing w:before="0" w:beforeAutospacing="0" w:after="0" w:afterAutospacing="0"/>
        <w:jc w:val="both"/>
      </w:pPr>
      <w:r>
        <w:t>2.</w:t>
      </w:r>
      <w:r w:rsidR="00F86174">
        <w:t>4</w:t>
      </w:r>
      <w:r>
        <w:t xml:space="preserve">. Указание на то, что данное </w:t>
      </w:r>
      <w:r w:rsidR="00AD2750">
        <w:t xml:space="preserve">научное </w:t>
      </w:r>
      <w:r>
        <w:t xml:space="preserve">исследование будет проводиться в соответствии с протоколом и применимыми </w:t>
      </w:r>
      <w:r w:rsidR="008E59F7">
        <w:t xml:space="preserve">регуляторными </w:t>
      </w:r>
      <w:r>
        <w:t>требованиями.</w:t>
      </w:r>
    </w:p>
    <w:p w14:paraId="0A8E04ED" w14:textId="27CE9B07" w:rsidR="00330A53" w:rsidRDefault="00330A53" w:rsidP="00330A53">
      <w:pPr>
        <w:pStyle w:val="af5"/>
        <w:spacing w:before="0" w:beforeAutospacing="0" w:after="0" w:afterAutospacing="0"/>
        <w:jc w:val="both"/>
      </w:pPr>
      <w:r>
        <w:t>2.</w:t>
      </w:r>
      <w:r w:rsidR="00F86174">
        <w:t>5</w:t>
      </w:r>
      <w:r>
        <w:t>. Описание исследуемой популяции субъектов исследования.</w:t>
      </w:r>
    </w:p>
    <w:p w14:paraId="055FC19B" w14:textId="6A1BAE80" w:rsidR="00330A53" w:rsidRDefault="00330A53" w:rsidP="00330A53">
      <w:pPr>
        <w:pStyle w:val="af5"/>
        <w:spacing w:before="0" w:beforeAutospacing="0" w:after="0" w:afterAutospacing="0"/>
        <w:jc w:val="both"/>
      </w:pPr>
      <w:r>
        <w:t>2.</w:t>
      </w:r>
      <w:r w:rsidR="00F86174">
        <w:t>6</w:t>
      </w:r>
      <w:r>
        <w:t>. Ссылки на литературные источники и данные, существенные для исследования и представляющие собой обоснование данного исследования.</w:t>
      </w:r>
    </w:p>
    <w:p w14:paraId="4593120D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36286626" w14:textId="7879315B" w:rsidR="00330A53" w:rsidRDefault="00330A53" w:rsidP="00330A53">
      <w:pPr>
        <w:pStyle w:val="af5"/>
        <w:spacing w:before="0" w:beforeAutospacing="0" w:after="0" w:afterAutospacing="0"/>
        <w:jc w:val="both"/>
      </w:pPr>
      <w:r>
        <w:t>3. Цели и задачи исследования</w:t>
      </w:r>
    </w:p>
    <w:p w14:paraId="46E38916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Детальное описание целей и задач исследования.</w:t>
      </w:r>
    </w:p>
    <w:p w14:paraId="220EDD32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2F489697" w14:textId="6DC4A450" w:rsidR="00330A53" w:rsidRDefault="00330A53" w:rsidP="00330A53">
      <w:pPr>
        <w:pStyle w:val="af5"/>
        <w:spacing w:before="0" w:beforeAutospacing="0" w:after="0" w:afterAutospacing="0"/>
        <w:jc w:val="both"/>
      </w:pPr>
      <w:r>
        <w:t>4. Дизайн исследования</w:t>
      </w:r>
    </w:p>
    <w:p w14:paraId="0EC5E704" w14:textId="193D4D15" w:rsidR="00330A53" w:rsidRPr="008E59F7" w:rsidRDefault="00330A53" w:rsidP="00330A53">
      <w:pPr>
        <w:pStyle w:val="af5"/>
        <w:spacing w:before="0" w:beforeAutospacing="0" w:after="0" w:afterAutospacing="0"/>
        <w:jc w:val="both"/>
        <w:rPr>
          <w:i/>
          <w:color w:val="FF0000"/>
        </w:rPr>
      </w:pPr>
      <w:r w:rsidRPr="008E59F7">
        <w:rPr>
          <w:i/>
          <w:color w:val="FF0000"/>
        </w:rPr>
        <w:t>Научная обоснованность исследования и достоверность полученных в исследовании данных существенно зависят от дизайна исследования. Описание дизайна исследования должно включать в себя следующее</w:t>
      </w:r>
      <w:r w:rsidR="008E59F7" w:rsidRPr="008E59F7">
        <w:rPr>
          <w:i/>
          <w:color w:val="FF0000"/>
        </w:rPr>
        <w:t>:</w:t>
      </w:r>
    </w:p>
    <w:p w14:paraId="593C34DB" w14:textId="5FC2D819" w:rsidR="00330A53" w:rsidRDefault="00330A53" w:rsidP="00330A53">
      <w:pPr>
        <w:pStyle w:val="af5"/>
        <w:spacing w:before="0" w:beforeAutospacing="0" w:after="0" w:afterAutospacing="0"/>
        <w:jc w:val="both"/>
      </w:pPr>
      <w:r>
        <w:t>4.1. Указание основных и дополнительных (при наличии) исследуемых параметров, которые будут оцениваться в ходе исследования.</w:t>
      </w:r>
    </w:p>
    <w:p w14:paraId="75C49C6F" w14:textId="50E91D22" w:rsidR="00330A53" w:rsidRDefault="00330A53" w:rsidP="00330A53">
      <w:pPr>
        <w:pStyle w:val="af5"/>
        <w:spacing w:before="0" w:beforeAutospacing="0" w:after="0" w:afterAutospacing="0"/>
        <w:jc w:val="both"/>
      </w:pPr>
      <w:r>
        <w:t>4.2. Описание типа (дизайна) проводимого исследования (например, двойное слепое, плацебо-контролируемое, параллельное) и схематическое изображение дизайна исследования, процедур и этапов исследования.</w:t>
      </w:r>
    </w:p>
    <w:p w14:paraId="12B2373A" w14:textId="1A0F8A54" w:rsidR="00330A53" w:rsidRDefault="00330A53" w:rsidP="00330A53">
      <w:pPr>
        <w:pStyle w:val="af5"/>
        <w:spacing w:before="0" w:beforeAutospacing="0" w:after="0" w:afterAutospacing="0"/>
        <w:jc w:val="both"/>
      </w:pPr>
      <w:r>
        <w:t>4.3. Описание мер, направленных на минимизацию (исключение) субъективности, в том числе:</w:t>
      </w:r>
    </w:p>
    <w:p w14:paraId="3ACA8AC3" w14:textId="77777777" w:rsidR="00F86174" w:rsidRDefault="00330A53" w:rsidP="00330A53">
      <w:pPr>
        <w:pStyle w:val="af5"/>
        <w:spacing w:before="0" w:beforeAutospacing="0" w:after="0" w:afterAutospacing="0"/>
        <w:jc w:val="both"/>
      </w:pPr>
      <w:r>
        <w:t>рандомизации;</w:t>
      </w:r>
    </w:p>
    <w:p w14:paraId="69FC3BDF" w14:textId="073A33A2" w:rsidR="00330A53" w:rsidRDefault="00330A53" w:rsidP="00330A53">
      <w:pPr>
        <w:pStyle w:val="af5"/>
        <w:spacing w:before="0" w:beforeAutospacing="0" w:after="0" w:afterAutospacing="0"/>
        <w:jc w:val="both"/>
      </w:pPr>
      <w:r>
        <w:t>слепого метода (маскировки).</w:t>
      </w:r>
    </w:p>
    <w:p w14:paraId="59FB9A00" w14:textId="77777777" w:rsidR="00F86174" w:rsidRDefault="00330A53" w:rsidP="00330A53">
      <w:pPr>
        <w:pStyle w:val="af5"/>
        <w:spacing w:before="0" w:beforeAutospacing="0" w:after="0" w:afterAutospacing="0"/>
        <w:jc w:val="both"/>
      </w:pPr>
      <w:r>
        <w:t xml:space="preserve">4.4. Описание используемого в исследовании лечения, дозировки и схемы применения исследуемых препаратов (включает в себя описание лекарственной формы, упаковки и маркировки исследуемых </w:t>
      </w:r>
      <w:proofErr w:type="gramStart"/>
      <w:r>
        <w:t>препаратов)</w:t>
      </w:r>
      <w:r w:rsidR="002E0B5C">
        <w:t>/</w:t>
      </w:r>
      <w:proofErr w:type="gramEnd"/>
      <w:r w:rsidR="002E0B5C">
        <w:t>описание и схема применения изучаемой методики</w:t>
      </w:r>
      <w:r w:rsidR="00D5251B">
        <w:t>/другое</w:t>
      </w:r>
      <w:r>
        <w:t>.</w:t>
      </w:r>
    </w:p>
    <w:p w14:paraId="50791828" w14:textId="244FD0C9" w:rsidR="00330A53" w:rsidRDefault="00330A53" w:rsidP="00330A53">
      <w:pPr>
        <w:pStyle w:val="af5"/>
        <w:spacing w:before="0" w:beforeAutospacing="0" w:after="0" w:afterAutospacing="0"/>
        <w:jc w:val="both"/>
      </w:pPr>
      <w:r>
        <w:lastRenderedPageBreak/>
        <w:t>4.5. Ожидаемая продолжительность участия субъектов в исследовании, описание последовательности и продолжительности всех периодов исследования, включая период последующего наблюдения, если таковой предусмотрен.</w:t>
      </w:r>
    </w:p>
    <w:p w14:paraId="50A08415" w14:textId="60533484" w:rsidR="00330A53" w:rsidRDefault="00330A53" w:rsidP="00330A53">
      <w:pPr>
        <w:pStyle w:val="af5"/>
        <w:spacing w:before="0" w:beforeAutospacing="0" w:after="0" w:afterAutospacing="0"/>
        <w:jc w:val="both"/>
      </w:pPr>
      <w:r>
        <w:t>4.6. Описание правил остановки или критериев исключения для отдельных субъектов, частей исследования или исследования в целом.</w:t>
      </w:r>
    </w:p>
    <w:p w14:paraId="38F7F365" w14:textId="5EDB8AB1" w:rsidR="00330A53" w:rsidRDefault="00330A53" w:rsidP="00330A53">
      <w:pPr>
        <w:pStyle w:val="af5"/>
        <w:spacing w:before="0" w:beforeAutospacing="0" w:after="0" w:afterAutospacing="0"/>
        <w:jc w:val="both"/>
      </w:pPr>
      <w:r>
        <w:t xml:space="preserve">4.7. Процедуры учета исследуемых препаратов, включая плацебо и препараты сравнения </w:t>
      </w:r>
      <w:r w:rsidRPr="005761F0">
        <w:rPr>
          <w:color w:val="FF0000"/>
        </w:rPr>
        <w:t>(</w:t>
      </w:r>
      <w:r w:rsidR="008E59F7" w:rsidRPr="005761F0">
        <w:rPr>
          <w:i/>
          <w:color w:val="FF0000"/>
        </w:rPr>
        <w:t>если применимо</w:t>
      </w:r>
      <w:r w:rsidRPr="005761F0">
        <w:rPr>
          <w:color w:val="FF0000"/>
        </w:rPr>
        <w:t>).</w:t>
      </w:r>
    </w:p>
    <w:p w14:paraId="1B413466" w14:textId="6FEEEF9A" w:rsidR="00330A53" w:rsidRDefault="00330A53" w:rsidP="00330A53">
      <w:pPr>
        <w:pStyle w:val="af5"/>
        <w:spacing w:before="0" w:beforeAutospacing="0" w:after="0" w:afterAutospacing="0"/>
        <w:jc w:val="both"/>
      </w:pPr>
      <w:r>
        <w:t xml:space="preserve">4.8. Хранение </w:t>
      </w:r>
      <w:proofErr w:type="spellStart"/>
      <w:r>
        <w:t>рандомизационных</w:t>
      </w:r>
      <w:proofErr w:type="spellEnd"/>
      <w:r>
        <w:t xml:space="preserve"> кодов лечения и процедуры их раскрытия</w:t>
      </w:r>
      <w:r w:rsidR="002E0B5C">
        <w:t xml:space="preserve"> </w:t>
      </w:r>
      <w:r w:rsidR="002E0B5C" w:rsidRPr="002E0B5C">
        <w:rPr>
          <w:i/>
          <w:color w:val="FF0000"/>
        </w:rPr>
        <w:t>(если применимо)</w:t>
      </w:r>
      <w:r>
        <w:t>.</w:t>
      </w:r>
    </w:p>
    <w:p w14:paraId="71D66CBD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4A16844C" w14:textId="56EE4407" w:rsidR="00330A53" w:rsidRDefault="00330A53" w:rsidP="00330A53">
      <w:pPr>
        <w:pStyle w:val="af5"/>
        <w:spacing w:before="0" w:beforeAutospacing="0" w:after="0" w:afterAutospacing="0"/>
        <w:jc w:val="both"/>
      </w:pPr>
      <w:r>
        <w:t>5. Отбор и исключение субъектов</w:t>
      </w:r>
    </w:p>
    <w:p w14:paraId="5CDE3857" w14:textId="0DB49584" w:rsidR="00330A53" w:rsidRDefault="00330A53" w:rsidP="00330A53">
      <w:pPr>
        <w:pStyle w:val="af5"/>
        <w:spacing w:before="0" w:beforeAutospacing="0" w:after="0" w:afterAutospacing="0"/>
        <w:jc w:val="both"/>
      </w:pPr>
      <w:r>
        <w:t>5.1. Критерии включения субъектов.</w:t>
      </w:r>
      <w:bookmarkStart w:id="0" w:name="_GoBack"/>
      <w:bookmarkEnd w:id="0"/>
    </w:p>
    <w:p w14:paraId="54244E8D" w14:textId="63D89BAD" w:rsidR="00330A53" w:rsidRDefault="00330A53" w:rsidP="00330A53">
      <w:pPr>
        <w:pStyle w:val="af5"/>
        <w:spacing w:before="0" w:beforeAutospacing="0" w:after="0" w:afterAutospacing="0"/>
        <w:jc w:val="both"/>
      </w:pPr>
      <w:r>
        <w:t xml:space="preserve">5.2. Критерии </w:t>
      </w:r>
      <w:proofErr w:type="spellStart"/>
      <w:r>
        <w:t>невключения</w:t>
      </w:r>
      <w:proofErr w:type="spellEnd"/>
      <w:r>
        <w:t xml:space="preserve"> субъектов.</w:t>
      </w:r>
    </w:p>
    <w:p w14:paraId="0FE6551C" w14:textId="07D93AEE" w:rsidR="00330A53" w:rsidRDefault="00330A53" w:rsidP="00330A53">
      <w:pPr>
        <w:pStyle w:val="af5"/>
        <w:spacing w:before="0" w:beforeAutospacing="0" w:after="0" w:afterAutospacing="0"/>
        <w:jc w:val="both"/>
      </w:pPr>
      <w:r>
        <w:t>5.3. Критерии исключения субъектов (т.е. основания прекращения применения исследуемого препарата (исследуемого лечения)), а также процедуры, определяющие:</w:t>
      </w:r>
    </w:p>
    <w:p w14:paraId="125BDD81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а) когда и как субъектов исключать из исследования (лечения) исследуемым препаратом;</w:t>
      </w:r>
    </w:p>
    <w:p w14:paraId="694D5888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б) какие данные и в какие сроки должны быть собраны по исключенным пациента;</w:t>
      </w:r>
    </w:p>
    <w:p w14:paraId="574A3BDC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в) процедура замены субъектов, если это предусмотрено;</w:t>
      </w:r>
    </w:p>
    <w:p w14:paraId="55E75AAF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г) последующее наблюдение за субъектами исследования, исключенными из лечения исследуемым препаратом (исследуемым лечением).</w:t>
      </w:r>
    </w:p>
    <w:p w14:paraId="278EDDC4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2EDE7B26" w14:textId="1EC8C0DB" w:rsidR="00330A53" w:rsidRDefault="00330A53" w:rsidP="00330A53">
      <w:pPr>
        <w:pStyle w:val="af5"/>
        <w:spacing w:before="0" w:beforeAutospacing="0" w:after="0" w:afterAutospacing="0"/>
        <w:jc w:val="both"/>
      </w:pPr>
      <w:r>
        <w:t>6.</w:t>
      </w:r>
      <w:r w:rsidR="008E59F7">
        <w:t xml:space="preserve"> Лечение субъектов исследования</w:t>
      </w:r>
      <w:r w:rsidR="00D5251B">
        <w:t xml:space="preserve"> </w:t>
      </w:r>
      <w:r w:rsidR="00D5251B" w:rsidRPr="008E59F7">
        <w:rPr>
          <w:i/>
          <w:color w:val="FF0000"/>
        </w:rPr>
        <w:t>(если применимо)</w:t>
      </w:r>
    </w:p>
    <w:p w14:paraId="28273D91" w14:textId="794D17B8" w:rsidR="00330A53" w:rsidRDefault="00330A53" w:rsidP="00330A53">
      <w:pPr>
        <w:pStyle w:val="af5"/>
        <w:spacing w:before="0" w:beforeAutospacing="0" w:after="0" w:afterAutospacing="0"/>
        <w:jc w:val="both"/>
      </w:pPr>
      <w:r>
        <w:t>6.1. Осуществляемое лечение, включая наименования всех препаратов, их дозировки, частоту приема, пути (способы введения), а также продолжительность лечения, в том числе периоды последующего наблюдения для каждой группы субъектов (по группам лечения исследуемым препаратом, группам исследуемого лечения, группам исследования).</w:t>
      </w:r>
    </w:p>
    <w:p w14:paraId="0471B893" w14:textId="1D93DCD1" w:rsidR="00330A53" w:rsidRDefault="00330A53" w:rsidP="00330A53">
      <w:pPr>
        <w:pStyle w:val="af5"/>
        <w:spacing w:before="0" w:beforeAutospacing="0" w:after="0" w:afterAutospacing="0"/>
        <w:jc w:val="both"/>
      </w:pPr>
      <w:r>
        <w:t>6.2. Лекарственные препараты (виды терапии), применение которых разрешено (включая неотложную терапию) или не разрешено до и (или) во время проведения исследования.</w:t>
      </w:r>
    </w:p>
    <w:p w14:paraId="19C28B2A" w14:textId="4C8AF1DA" w:rsidR="00330A53" w:rsidRDefault="00330A53" w:rsidP="00330A53">
      <w:pPr>
        <w:pStyle w:val="af5"/>
        <w:spacing w:before="0" w:beforeAutospacing="0" w:after="0" w:afterAutospacing="0"/>
        <w:jc w:val="both"/>
      </w:pPr>
      <w:r>
        <w:t>6.3. Методы контроля за соблюдением процедур субъектами исследования.</w:t>
      </w:r>
    </w:p>
    <w:p w14:paraId="576180BB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529461CB" w14:textId="76B2D164" w:rsidR="00330A53" w:rsidRDefault="008E59F7" w:rsidP="00330A53">
      <w:pPr>
        <w:pStyle w:val="af5"/>
        <w:spacing w:before="0" w:beforeAutospacing="0" w:after="0" w:afterAutospacing="0"/>
        <w:jc w:val="both"/>
      </w:pPr>
      <w:r>
        <w:t xml:space="preserve">7. Оценка эффективности </w:t>
      </w:r>
      <w:r w:rsidRPr="008E59F7">
        <w:rPr>
          <w:i/>
          <w:color w:val="FF0000"/>
        </w:rPr>
        <w:t>(если применимо)</w:t>
      </w:r>
    </w:p>
    <w:p w14:paraId="21789D1D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6.7.1. Перечень параметров эффективности.</w:t>
      </w:r>
    </w:p>
    <w:p w14:paraId="2B301862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6.7.2. Методы и сроки проведения оценки, регистрации и анализа параметров эффективности.</w:t>
      </w:r>
    </w:p>
    <w:p w14:paraId="6F243FF1" w14:textId="77777777" w:rsidR="00330A53" w:rsidRDefault="00330A53" w:rsidP="00330A53">
      <w:pPr>
        <w:pStyle w:val="af5"/>
        <w:spacing w:before="0" w:beforeAutospacing="0" w:after="0" w:afterAutospacing="0"/>
        <w:jc w:val="both"/>
      </w:pPr>
      <w:r>
        <w:t> </w:t>
      </w:r>
    </w:p>
    <w:p w14:paraId="5CB5E04F" w14:textId="6C7C16DD" w:rsidR="00330A53" w:rsidRDefault="008E59F7" w:rsidP="00330A53">
      <w:pPr>
        <w:pStyle w:val="af5"/>
        <w:spacing w:before="0" w:beforeAutospacing="0" w:after="0" w:afterAutospacing="0"/>
        <w:jc w:val="both"/>
      </w:pPr>
      <w:r>
        <w:t xml:space="preserve">8. Оценка безопасности </w:t>
      </w:r>
      <w:r w:rsidRPr="008E59F7">
        <w:rPr>
          <w:i/>
          <w:color w:val="FF0000"/>
        </w:rPr>
        <w:t>(если применимо)</w:t>
      </w:r>
    </w:p>
    <w:p w14:paraId="486B15EF" w14:textId="6F8613F1" w:rsidR="00330A53" w:rsidRDefault="00330A53" w:rsidP="00330A53">
      <w:pPr>
        <w:pStyle w:val="af5"/>
        <w:spacing w:before="0" w:beforeAutospacing="0" w:after="0" w:afterAutospacing="0"/>
        <w:jc w:val="both"/>
      </w:pPr>
      <w:r>
        <w:t>8.1. Перечень параметров безопасности.</w:t>
      </w:r>
    </w:p>
    <w:p w14:paraId="4F35467E" w14:textId="05B807E7" w:rsidR="00330A53" w:rsidRDefault="00330A53" w:rsidP="00330A53">
      <w:pPr>
        <w:pStyle w:val="af5"/>
        <w:spacing w:before="0" w:beforeAutospacing="0" w:after="0" w:afterAutospacing="0"/>
        <w:jc w:val="both"/>
      </w:pPr>
      <w:r>
        <w:t>8.2. Методы и сроки проведения оценки, регистрации и анализа параметров безопасности.</w:t>
      </w:r>
    </w:p>
    <w:p w14:paraId="49DE335A" w14:textId="0013EC6F" w:rsidR="00330A53" w:rsidRDefault="00330A53" w:rsidP="00330A53">
      <w:pPr>
        <w:pStyle w:val="af5"/>
        <w:spacing w:before="0" w:beforeAutospacing="0" w:after="0" w:afterAutospacing="0"/>
        <w:jc w:val="both"/>
      </w:pPr>
      <w:r>
        <w:t>8.3. Требования к отчетам, процедуры по регистрации и сообщениям о нежелательных явлениях и интеркуррентных заболеваниях.</w:t>
      </w:r>
    </w:p>
    <w:p w14:paraId="6C64ECE4" w14:textId="176204B1" w:rsidR="00330A53" w:rsidRDefault="00330A53" w:rsidP="00330A53">
      <w:pPr>
        <w:pStyle w:val="af5"/>
        <w:spacing w:before="0" w:beforeAutospacing="0" w:after="0" w:afterAutospacing="0"/>
        <w:jc w:val="both"/>
      </w:pPr>
      <w:r>
        <w:t>8.4. Метод и продолжительность наблюдения за субъектами исследования после возникновения нежелательных явлений.</w:t>
      </w:r>
    </w:p>
    <w:p w14:paraId="76E0E7ED" w14:textId="77777777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2D2E6E1A" w14:textId="58B5D029" w:rsidR="00330A53" w:rsidRDefault="00330A53" w:rsidP="00330A53">
      <w:pPr>
        <w:pStyle w:val="af5"/>
        <w:spacing w:before="0" w:beforeAutospacing="0" w:after="0" w:afterAutospacing="0"/>
        <w:jc w:val="both"/>
      </w:pPr>
      <w:r>
        <w:t>9. Статистические ас</w:t>
      </w:r>
      <w:r w:rsidR="000A2975">
        <w:t xml:space="preserve">пекты </w:t>
      </w:r>
      <w:r w:rsidR="002E0B5C">
        <w:t xml:space="preserve">научного </w:t>
      </w:r>
      <w:r w:rsidR="000A2975">
        <w:t>исследования</w:t>
      </w:r>
    </w:p>
    <w:p w14:paraId="6942B0C9" w14:textId="51FF8B96" w:rsidR="00330A53" w:rsidRDefault="00330A53" w:rsidP="00330A53">
      <w:pPr>
        <w:pStyle w:val="af5"/>
        <w:spacing w:before="0" w:beforeAutospacing="0" w:after="0" w:afterAutospacing="0"/>
        <w:jc w:val="both"/>
      </w:pPr>
      <w:r>
        <w:t>9.1. Описание статистических методов, которые предполагается использовать.</w:t>
      </w:r>
    </w:p>
    <w:p w14:paraId="3E850AF4" w14:textId="246BA0C3" w:rsidR="00330A53" w:rsidRDefault="00330A53" w:rsidP="00330A53">
      <w:pPr>
        <w:pStyle w:val="af5"/>
        <w:spacing w:before="0" w:beforeAutospacing="0" w:after="0" w:afterAutospacing="0"/>
        <w:jc w:val="both"/>
      </w:pPr>
      <w:r>
        <w:t>9.2. Планируемое количество субъектов. Обоснование размера выборки, включая пояснения или вычисления для обоснования статистической мощности исследования и клинической обоснованности исследования.</w:t>
      </w:r>
    </w:p>
    <w:p w14:paraId="28B20342" w14:textId="09C17BFD" w:rsidR="00330A53" w:rsidRDefault="00330A53" w:rsidP="00330A53">
      <w:pPr>
        <w:pStyle w:val="af5"/>
        <w:spacing w:before="0" w:beforeAutospacing="0" w:after="0" w:afterAutospacing="0"/>
        <w:jc w:val="both"/>
      </w:pPr>
      <w:r>
        <w:t xml:space="preserve">9.7. Отбор субъектов для анализа (например, все </w:t>
      </w:r>
      <w:proofErr w:type="spellStart"/>
      <w:r>
        <w:t>рандомизированные</w:t>
      </w:r>
      <w:proofErr w:type="spellEnd"/>
      <w:r>
        <w:t xml:space="preserve"> субъекты, все субъекты, получившие хотя бы одну дозу исследуемого препарата, все субъекты, соответствующие критериям отбора, субъекты, данные которых пригодны для оценки).</w:t>
      </w:r>
    </w:p>
    <w:p w14:paraId="2C59D6D1" w14:textId="10E63672" w:rsidR="00330A53" w:rsidRPr="00F86174" w:rsidRDefault="00330A53" w:rsidP="00330A53">
      <w:pPr>
        <w:pStyle w:val="af5"/>
        <w:spacing w:before="0" w:beforeAutospacing="0" w:after="0" w:afterAutospacing="0"/>
        <w:jc w:val="both"/>
        <w:rPr>
          <w:sz w:val="16"/>
          <w:szCs w:val="16"/>
        </w:rPr>
      </w:pPr>
      <w:r>
        <w:t> </w:t>
      </w:r>
    </w:p>
    <w:p w14:paraId="0D92CE0B" w14:textId="5A10E09C" w:rsidR="00330A53" w:rsidRDefault="000A2975" w:rsidP="00330A53">
      <w:pPr>
        <w:pStyle w:val="af5"/>
        <w:spacing w:before="0" w:beforeAutospacing="0" w:after="0" w:afterAutospacing="0"/>
        <w:jc w:val="both"/>
      </w:pPr>
      <w:r>
        <w:t>10. Этические аспекты</w:t>
      </w:r>
    </w:p>
    <w:p w14:paraId="6A59D6DC" w14:textId="73CF221B" w:rsidR="00330A53" w:rsidRDefault="00330A53" w:rsidP="00330A53">
      <w:pPr>
        <w:pStyle w:val="af5"/>
        <w:spacing w:before="0" w:beforeAutospacing="0" w:after="0" w:afterAutospacing="0"/>
        <w:jc w:val="both"/>
        <w:rPr>
          <w:i/>
          <w:color w:val="FF0000"/>
        </w:rPr>
      </w:pPr>
      <w:r w:rsidRPr="00F86174">
        <w:rPr>
          <w:i/>
          <w:color w:val="FF0000"/>
        </w:rPr>
        <w:t>Описание этических аспектов исследования.</w:t>
      </w:r>
    </w:p>
    <w:p w14:paraId="081167A8" w14:textId="77777777" w:rsidR="00F86174" w:rsidRDefault="00F86174" w:rsidP="000A2975">
      <w:pPr>
        <w:pStyle w:val="af5"/>
        <w:spacing w:before="0" w:beforeAutospacing="0" w:after="0" w:afterAutospacing="0"/>
        <w:jc w:val="both"/>
      </w:pPr>
    </w:p>
    <w:p w14:paraId="64A02AB4" w14:textId="215C45BC" w:rsidR="00330A53" w:rsidRPr="00F86174" w:rsidRDefault="000A2975" w:rsidP="00F86174">
      <w:pPr>
        <w:pStyle w:val="af5"/>
        <w:spacing w:before="0" w:beforeAutospacing="0" w:after="0" w:afterAutospacing="0"/>
        <w:jc w:val="both"/>
      </w:pPr>
      <w:r>
        <w:t>1</w:t>
      </w:r>
      <w:r w:rsidR="00F86174">
        <w:t>1</w:t>
      </w:r>
      <w:r>
        <w:t xml:space="preserve">. Приложения к протоколу </w:t>
      </w:r>
      <w:r w:rsidRPr="008E59F7">
        <w:rPr>
          <w:i/>
          <w:color w:val="FF0000"/>
        </w:rPr>
        <w:t>(если применимо)</w:t>
      </w:r>
    </w:p>
    <w:sectPr w:rsidR="00330A53" w:rsidRPr="00F86174" w:rsidSect="00F86174">
      <w:footerReference w:type="default" r:id="rId11"/>
      <w:pgSz w:w="11906" w:h="16838" w:code="9"/>
      <w:pgMar w:top="567" w:right="567" w:bottom="993" w:left="1134" w:header="709" w:footer="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DE86A" w14:textId="77777777" w:rsidR="00F20FFA" w:rsidRDefault="00F20FFA">
      <w:r>
        <w:separator/>
      </w:r>
    </w:p>
  </w:endnote>
  <w:endnote w:type="continuationSeparator" w:id="0">
    <w:p w14:paraId="39C90EF5" w14:textId="77777777" w:rsidR="00F20FFA" w:rsidRDefault="00F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DAB6B" w14:textId="729A3037" w:rsidR="00212B4F" w:rsidRDefault="002E0B5C" w:rsidP="00B368E7">
    <w:pPr>
      <w:pStyle w:val="a5"/>
      <w:spacing w:before="240"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научного исследования в рамках диссертационной работы на тему «…</w:t>
    </w:r>
    <w:proofErr w:type="gramStart"/>
    <w:r>
      <w:rPr>
        <w:rFonts w:ascii="Times New Roman" w:hAnsi="Times New Roman"/>
        <w:sz w:val="20"/>
        <w:szCs w:val="20"/>
      </w:rPr>
      <w:t>…….</w:t>
    </w:r>
    <w:proofErr w:type="gramEnd"/>
    <w:r>
      <w:rPr>
        <w:rFonts w:ascii="Times New Roman" w:hAnsi="Times New Roman"/>
        <w:sz w:val="20"/>
        <w:szCs w:val="20"/>
      </w:rPr>
      <w:t>»</w:t>
    </w:r>
    <w:r w:rsidR="00212B4F">
      <w:rPr>
        <w:rFonts w:ascii="Times New Roman" w:hAnsi="Times New Roman"/>
        <w:sz w:val="20"/>
        <w:szCs w:val="20"/>
      </w:rPr>
      <w:t>,</w:t>
    </w:r>
  </w:p>
  <w:p w14:paraId="3A8C1241" w14:textId="2C660E86" w:rsidR="00642F3E" w:rsidRPr="00EF6FC1" w:rsidRDefault="004D6B96" w:rsidP="00212B4F">
    <w:pPr>
      <w:pStyle w:val="a5"/>
      <w:spacing w:after="0" w:line="240" w:lineRule="auto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версия </w:t>
    </w:r>
    <w:r w:rsidR="00602648" w:rsidRPr="00EF6FC1">
      <w:rPr>
        <w:rFonts w:ascii="Times New Roman" w:hAnsi="Times New Roman"/>
        <w:color w:val="FF0000"/>
        <w:sz w:val="20"/>
        <w:szCs w:val="20"/>
      </w:rPr>
      <w:t>№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 xml:space="preserve"> [номер] </w:t>
    </w:r>
    <w:r w:rsidR="00602648" w:rsidRPr="00EF6FC1">
      <w:rPr>
        <w:rFonts w:ascii="Times New Roman" w:hAnsi="Times New Roman"/>
        <w:color w:val="FF0000"/>
        <w:sz w:val="20"/>
        <w:szCs w:val="20"/>
      </w:rPr>
      <w:t xml:space="preserve">от </w:t>
    </w:r>
    <w:r w:rsidR="00602648" w:rsidRPr="00EF6FC1">
      <w:rPr>
        <w:rFonts w:ascii="Times New Roman" w:hAnsi="Times New Roman"/>
        <w:i/>
        <w:color w:val="FF0000"/>
        <w:sz w:val="20"/>
        <w:szCs w:val="20"/>
      </w:rPr>
      <w:t>[дата]</w:t>
    </w:r>
  </w:p>
  <w:p w14:paraId="18E4F4A3" w14:textId="1B7C0E2F"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5761F0">
      <w:rPr>
        <w:rFonts w:ascii="Times New Roman" w:hAnsi="Times New Roman"/>
        <w:b/>
        <w:noProof/>
        <w:sz w:val="24"/>
        <w:szCs w:val="24"/>
      </w:rPr>
      <w:t>1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5761F0">
      <w:rPr>
        <w:rFonts w:ascii="Times New Roman" w:hAnsi="Times New Roman"/>
        <w:b/>
        <w:noProof/>
        <w:sz w:val="24"/>
        <w:szCs w:val="24"/>
      </w:rPr>
      <w:t>2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47863" w14:textId="77777777" w:rsidR="00F20FFA" w:rsidRDefault="00F20FFA">
      <w:r>
        <w:separator/>
      </w:r>
    </w:p>
  </w:footnote>
  <w:footnote w:type="continuationSeparator" w:id="0">
    <w:p w14:paraId="0C226AD8" w14:textId="77777777" w:rsidR="00F20FFA" w:rsidRDefault="00F2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30F66"/>
    <w:multiLevelType w:val="hybridMultilevel"/>
    <w:tmpl w:val="F1A62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5"/>
    <w:rsid w:val="00003243"/>
    <w:rsid w:val="00003B89"/>
    <w:rsid w:val="00004BAB"/>
    <w:rsid w:val="00005521"/>
    <w:rsid w:val="00006BCB"/>
    <w:rsid w:val="000165AC"/>
    <w:rsid w:val="0002383E"/>
    <w:rsid w:val="00026937"/>
    <w:rsid w:val="00032490"/>
    <w:rsid w:val="00032B8F"/>
    <w:rsid w:val="00036719"/>
    <w:rsid w:val="00053131"/>
    <w:rsid w:val="0005587F"/>
    <w:rsid w:val="00062540"/>
    <w:rsid w:val="00064B27"/>
    <w:rsid w:val="00066430"/>
    <w:rsid w:val="0008143C"/>
    <w:rsid w:val="00094881"/>
    <w:rsid w:val="000A2975"/>
    <w:rsid w:val="000B09A7"/>
    <w:rsid w:val="000B53DD"/>
    <w:rsid w:val="000C5768"/>
    <w:rsid w:val="000D43B3"/>
    <w:rsid w:val="000E3305"/>
    <w:rsid w:val="000F117C"/>
    <w:rsid w:val="0010383E"/>
    <w:rsid w:val="00103843"/>
    <w:rsid w:val="0011263C"/>
    <w:rsid w:val="00120A15"/>
    <w:rsid w:val="00121287"/>
    <w:rsid w:val="001216C8"/>
    <w:rsid w:val="001277E4"/>
    <w:rsid w:val="00132280"/>
    <w:rsid w:val="00134690"/>
    <w:rsid w:val="001357AB"/>
    <w:rsid w:val="00136DB0"/>
    <w:rsid w:val="001426AD"/>
    <w:rsid w:val="001432D4"/>
    <w:rsid w:val="00147351"/>
    <w:rsid w:val="00153B42"/>
    <w:rsid w:val="00163254"/>
    <w:rsid w:val="00170F05"/>
    <w:rsid w:val="00171A8E"/>
    <w:rsid w:val="0017626E"/>
    <w:rsid w:val="00180D4D"/>
    <w:rsid w:val="00185A18"/>
    <w:rsid w:val="00187843"/>
    <w:rsid w:val="00197D56"/>
    <w:rsid w:val="00197FE7"/>
    <w:rsid w:val="001A77D3"/>
    <w:rsid w:val="001B18C5"/>
    <w:rsid w:val="001C291D"/>
    <w:rsid w:val="001D33E6"/>
    <w:rsid w:val="001D4C05"/>
    <w:rsid w:val="001D5525"/>
    <w:rsid w:val="001E2A35"/>
    <w:rsid w:val="001E4F62"/>
    <w:rsid w:val="001E52E4"/>
    <w:rsid w:val="001E605D"/>
    <w:rsid w:val="001E7BC0"/>
    <w:rsid w:val="001F3F05"/>
    <w:rsid w:val="002000F3"/>
    <w:rsid w:val="00204E92"/>
    <w:rsid w:val="00206BCA"/>
    <w:rsid w:val="002105EE"/>
    <w:rsid w:val="00212B4F"/>
    <w:rsid w:val="00212ED6"/>
    <w:rsid w:val="00216ADB"/>
    <w:rsid w:val="002266E7"/>
    <w:rsid w:val="002267BF"/>
    <w:rsid w:val="00226C21"/>
    <w:rsid w:val="00227295"/>
    <w:rsid w:val="00230EB0"/>
    <w:rsid w:val="00250413"/>
    <w:rsid w:val="00251162"/>
    <w:rsid w:val="00251340"/>
    <w:rsid w:val="0025164A"/>
    <w:rsid w:val="002529FD"/>
    <w:rsid w:val="002670ED"/>
    <w:rsid w:val="0027135C"/>
    <w:rsid w:val="00272468"/>
    <w:rsid w:val="0028417E"/>
    <w:rsid w:val="00285343"/>
    <w:rsid w:val="00285920"/>
    <w:rsid w:val="0029128D"/>
    <w:rsid w:val="00296068"/>
    <w:rsid w:val="002A3D3A"/>
    <w:rsid w:val="002C076D"/>
    <w:rsid w:val="002C307C"/>
    <w:rsid w:val="002C3CF5"/>
    <w:rsid w:val="002E0B5C"/>
    <w:rsid w:val="002E5C5D"/>
    <w:rsid w:val="002E6534"/>
    <w:rsid w:val="002F3A42"/>
    <w:rsid w:val="002F4A59"/>
    <w:rsid w:val="0030553D"/>
    <w:rsid w:val="00305AE9"/>
    <w:rsid w:val="003060A6"/>
    <w:rsid w:val="00312BE0"/>
    <w:rsid w:val="00315FC5"/>
    <w:rsid w:val="0032247B"/>
    <w:rsid w:val="00322D05"/>
    <w:rsid w:val="00330A53"/>
    <w:rsid w:val="00340130"/>
    <w:rsid w:val="00342381"/>
    <w:rsid w:val="00343E4C"/>
    <w:rsid w:val="00347FD9"/>
    <w:rsid w:val="0035078D"/>
    <w:rsid w:val="00351DC4"/>
    <w:rsid w:val="003533CE"/>
    <w:rsid w:val="00353B18"/>
    <w:rsid w:val="00356260"/>
    <w:rsid w:val="0036167C"/>
    <w:rsid w:val="00361BE6"/>
    <w:rsid w:val="00363CA5"/>
    <w:rsid w:val="00372274"/>
    <w:rsid w:val="003724CD"/>
    <w:rsid w:val="00377C72"/>
    <w:rsid w:val="003858DA"/>
    <w:rsid w:val="00385DE4"/>
    <w:rsid w:val="0038785E"/>
    <w:rsid w:val="00387C9E"/>
    <w:rsid w:val="003946C9"/>
    <w:rsid w:val="003A0837"/>
    <w:rsid w:val="003B32CC"/>
    <w:rsid w:val="003B5649"/>
    <w:rsid w:val="003C1A6D"/>
    <w:rsid w:val="003C1DE7"/>
    <w:rsid w:val="003D34DE"/>
    <w:rsid w:val="003D6C3B"/>
    <w:rsid w:val="003E63BA"/>
    <w:rsid w:val="003F11CA"/>
    <w:rsid w:val="003F2E14"/>
    <w:rsid w:val="003F7708"/>
    <w:rsid w:val="00402F06"/>
    <w:rsid w:val="00414437"/>
    <w:rsid w:val="004145BC"/>
    <w:rsid w:val="00436D80"/>
    <w:rsid w:val="00440A64"/>
    <w:rsid w:val="00443AAC"/>
    <w:rsid w:val="004458F5"/>
    <w:rsid w:val="00455040"/>
    <w:rsid w:val="00456895"/>
    <w:rsid w:val="004724D8"/>
    <w:rsid w:val="0047383F"/>
    <w:rsid w:val="004830EF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1D2E"/>
    <w:rsid w:val="004D6B96"/>
    <w:rsid w:val="004E02BD"/>
    <w:rsid w:val="004E117C"/>
    <w:rsid w:val="004E29AD"/>
    <w:rsid w:val="004F0144"/>
    <w:rsid w:val="004F217A"/>
    <w:rsid w:val="00506813"/>
    <w:rsid w:val="00506F17"/>
    <w:rsid w:val="00511079"/>
    <w:rsid w:val="00522F6D"/>
    <w:rsid w:val="00533562"/>
    <w:rsid w:val="00534496"/>
    <w:rsid w:val="00535623"/>
    <w:rsid w:val="00535D84"/>
    <w:rsid w:val="00535E1C"/>
    <w:rsid w:val="00542C86"/>
    <w:rsid w:val="00544662"/>
    <w:rsid w:val="00570112"/>
    <w:rsid w:val="0057017C"/>
    <w:rsid w:val="005761F0"/>
    <w:rsid w:val="00576828"/>
    <w:rsid w:val="00577DBD"/>
    <w:rsid w:val="00580082"/>
    <w:rsid w:val="005813EC"/>
    <w:rsid w:val="00582968"/>
    <w:rsid w:val="00584F8D"/>
    <w:rsid w:val="005853CE"/>
    <w:rsid w:val="005A2BAC"/>
    <w:rsid w:val="005A67E3"/>
    <w:rsid w:val="005A7EB8"/>
    <w:rsid w:val="005A7EC5"/>
    <w:rsid w:val="005B2111"/>
    <w:rsid w:val="005B50C1"/>
    <w:rsid w:val="005B60F6"/>
    <w:rsid w:val="005C3CDA"/>
    <w:rsid w:val="005D4E4E"/>
    <w:rsid w:val="005D6A83"/>
    <w:rsid w:val="005D6A8B"/>
    <w:rsid w:val="005D7974"/>
    <w:rsid w:val="005E6AB0"/>
    <w:rsid w:val="005F0508"/>
    <w:rsid w:val="005F2099"/>
    <w:rsid w:val="005F3B37"/>
    <w:rsid w:val="00602648"/>
    <w:rsid w:val="0060547C"/>
    <w:rsid w:val="00605B63"/>
    <w:rsid w:val="00615565"/>
    <w:rsid w:val="0063146F"/>
    <w:rsid w:val="00642BE8"/>
    <w:rsid w:val="00642F3E"/>
    <w:rsid w:val="00643A63"/>
    <w:rsid w:val="00646250"/>
    <w:rsid w:val="006572B8"/>
    <w:rsid w:val="006748A6"/>
    <w:rsid w:val="006806FA"/>
    <w:rsid w:val="0068312F"/>
    <w:rsid w:val="00686925"/>
    <w:rsid w:val="00687097"/>
    <w:rsid w:val="0069625D"/>
    <w:rsid w:val="006A6C18"/>
    <w:rsid w:val="006B18B6"/>
    <w:rsid w:val="006B3BDB"/>
    <w:rsid w:val="006C0834"/>
    <w:rsid w:val="006C2E73"/>
    <w:rsid w:val="006C56ED"/>
    <w:rsid w:val="006D2881"/>
    <w:rsid w:val="006D7C00"/>
    <w:rsid w:val="006E3306"/>
    <w:rsid w:val="006E5261"/>
    <w:rsid w:val="006E7A00"/>
    <w:rsid w:val="006F001D"/>
    <w:rsid w:val="00701F2D"/>
    <w:rsid w:val="00704516"/>
    <w:rsid w:val="007048C9"/>
    <w:rsid w:val="0070722A"/>
    <w:rsid w:val="00717612"/>
    <w:rsid w:val="007219CA"/>
    <w:rsid w:val="007235FB"/>
    <w:rsid w:val="0073225E"/>
    <w:rsid w:val="00734D7C"/>
    <w:rsid w:val="007355E5"/>
    <w:rsid w:val="00740FEF"/>
    <w:rsid w:val="007422C5"/>
    <w:rsid w:val="00746282"/>
    <w:rsid w:val="00774B86"/>
    <w:rsid w:val="00777B3C"/>
    <w:rsid w:val="0078172D"/>
    <w:rsid w:val="0078469C"/>
    <w:rsid w:val="00784765"/>
    <w:rsid w:val="00790564"/>
    <w:rsid w:val="007B03C5"/>
    <w:rsid w:val="007B71E7"/>
    <w:rsid w:val="007C00DC"/>
    <w:rsid w:val="007D0893"/>
    <w:rsid w:val="007D5552"/>
    <w:rsid w:val="007D7147"/>
    <w:rsid w:val="007F219D"/>
    <w:rsid w:val="007F684B"/>
    <w:rsid w:val="00807CCE"/>
    <w:rsid w:val="008141B2"/>
    <w:rsid w:val="0081762F"/>
    <w:rsid w:val="00821002"/>
    <w:rsid w:val="00821692"/>
    <w:rsid w:val="00830DE8"/>
    <w:rsid w:val="008346F1"/>
    <w:rsid w:val="0083780B"/>
    <w:rsid w:val="00844F2E"/>
    <w:rsid w:val="00845B63"/>
    <w:rsid w:val="00856D51"/>
    <w:rsid w:val="00857DFE"/>
    <w:rsid w:val="008709CC"/>
    <w:rsid w:val="008818DD"/>
    <w:rsid w:val="0089299E"/>
    <w:rsid w:val="008A7EF4"/>
    <w:rsid w:val="008B0E81"/>
    <w:rsid w:val="008B115E"/>
    <w:rsid w:val="008B5B51"/>
    <w:rsid w:val="008D676F"/>
    <w:rsid w:val="008D781F"/>
    <w:rsid w:val="008E59F7"/>
    <w:rsid w:val="00913D03"/>
    <w:rsid w:val="00926FB1"/>
    <w:rsid w:val="0093161A"/>
    <w:rsid w:val="00945AD8"/>
    <w:rsid w:val="0094648A"/>
    <w:rsid w:val="00953DBE"/>
    <w:rsid w:val="009543CC"/>
    <w:rsid w:val="009629DA"/>
    <w:rsid w:val="0096541D"/>
    <w:rsid w:val="00982D1D"/>
    <w:rsid w:val="00984C5A"/>
    <w:rsid w:val="00986777"/>
    <w:rsid w:val="00991304"/>
    <w:rsid w:val="00991D4E"/>
    <w:rsid w:val="00992105"/>
    <w:rsid w:val="00994D95"/>
    <w:rsid w:val="009979E7"/>
    <w:rsid w:val="009A3DE4"/>
    <w:rsid w:val="009A773D"/>
    <w:rsid w:val="009B017A"/>
    <w:rsid w:val="009B06BF"/>
    <w:rsid w:val="009B52CB"/>
    <w:rsid w:val="009C31B5"/>
    <w:rsid w:val="009E244D"/>
    <w:rsid w:val="009F5310"/>
    <w:rsid w:val="009F6753"/>
    <w:rsid w:val="00A16266"/>
    <w:rsid w:val="00A1677B"/>
    <w:rsid w:val="00A22665"/>
    <w:rsid w:val="00A25DD6"/>
    <w:rsid w:val="00A33744"/>
    <w:rsid w:val="00A444B8"/>
    <w:rsid w:val="00A469E2"/>
    <w:rsid w:val="00A504E5"/>
    <w:rsid w:val="00A50FD4"/>
    <w:rsid w:val="00A528C2"/>
    <w:rsid w:val="00A54482"/>
    <w:rsid w:val="00A61241"/>
    <w:rsid w:val="00A6179C"/>
    <w:rsid w:val="00A622E2"/>
    <w:rsid w:val="00A642F9"/>
    <w:rsid w:val="00A75DE7"/>
    <w:rsid w:val="00A77422"/>
    <w:rsid w:val="00A87AEA"/>
    <w:rsid w:val="00A9136B"/>
    <w:rsid w:val="00A9172B"/>
    <w:rsid w:val="00AA534F"/>
    <w:rsid w:val="00AB4A86"/>
    <w:rsid w:val="00AB4E9C"/>
    <w:rsid w:val="00AB5D03"/>
    <w:rsid w:val="00AC677D"/>
    <w:rsid w:val="00AD1463"/>
    <w:rsid w:val="00AD2750"/>
    <w:rsid w:val="00AE1E73"/>
    <w:rsid w:val="00AF3D0B"/>
    <w:rsid w:val="00AF6E58"/>
    <w:rsid w:val="00B07661"/>
    <w:rsid w:val="00B158C1"/>
    <w:rsid w:val="00B32410"/>
    <w:rsid w:val="00B368E7"/>
    <w:rsid w:val="00B44912"/>
    <w:rsid w:val="00B50963"/>
    <w:rsid w:val="00B50AE5"/>
    <w:rsid w:val="00B5155B"/>
    <w:rsid w:val="00B57D60"/>
    <w:rsid w:val="00B604F5"/>
    <w:rsid w:val="00B64AED"/>
    <w:rsid w:val="00B72ACF"/>
    <w:rsid w:val="00BA17E8"/>
    <w:rsid w:val="00BB2147"/>
    <w:rsid w:val="00BB58BA"/>
    <w:rsid w:val="00BB6303"/>
    <w:rsid w:val="00BC60F6"/>
    <w:rsid w:val="00BC7B51"/>
    <w:rsid w:val="00BD3E26"/>
    <w:rsid w:val="00BD78F4"/>
    <w:rsid w:val="00BE7FA2"/>
    <w:rsid w:val="00BF1850"/>
    <w:rsid w:val="00BF3505"/>
    <w:rsid w:val="00BF5A63"/>
    <w:rsid w:val="00BF6864"/>
    <w:rsid w:val="00BF7684"/>
    <w:rsid w:val="00C04DC5"/>
    <w:rsid w:val="00C10E92"/>
    <w:rsid w:val="00C1485D"/>
    <w:rsid w:val="00C27ECA"/>
    <w:rsid w:val="00C30BB5"/>
    <w:rsid w:val="00C31D7F"/>
    <w:rsid w:val="00C33387"/>
    <w:rsid w:val="00C36D59"/>
    <w:rsid w:val="00C426E2"/>
    <w:rsid w:val="00C42DB4"/>
    <w:rsid w:val="00C45095"/>
    <w:rsid w:val="00C45AA7"/>
    <w:rsid w:val="00C57D96"/>
    <w:rsid w:val="00C65B41"/>
    <w:rsid w:val="00C668E5"/>
    <w:rsid w:val="00C8041D"/>
    <w:rsid w:val="00C81C8B"/>
    <w:rsid w:val="00C846BC"/>
    <w:rsid w:val="00C956A2"/>
    <w:rsid w:val="00C962D1"/>
    <w:rsid w:val="00C9716B"/>
    <w:rsid w:val="00CA0E83"/>
    <w:rsid w:val="00CD4D0F"/>
    <w:rsid w:val="00CD65FB"/>
    <w:rsid w:val="00CF5D1A"/>
    <w:rsid w:val="00CF625E"/>
    <w:rsid w:val="00CF7279"/>
    <w:rsid w:val="00D04077"/>
    <w:rsid w:val="00D04905"/>
    <w:rsid w:val="00D07CE5"/>
    <w:rsid w:val="00D22139"/>
    <w:rsid w:val="00D23A80"/>
    <w:rsid w:val="00D31FC2"/>
    <w:rsid w:val="00D34C7B"/>
    <w:rsid w:val="00D37873"/>
    <w:rsid w:val="00D40180"/>
    <w:rsid w:val="00D42B68"/>
    <w:rsid w:val="00D42B89"/>
    <w:rsid w:val="00D5251B"/>
    <w:rsid w:val="00D55573"/>
    <w:rsid w:val="00D62D01"/>
    <w:rsid w:val="00D63484"/>
    <w:rsid w:val="00D6588C"/>
    <w:rsid w:val="00D744B3"/>
    <w:rsid w:val="00D766FB"/>
    <w:rsid w:val="00D80981"/>
    <w:rsid w:val="00D86B78"/>
    <w:rsid w:val="00D87F90"/>
    <w:rsid w:val="00DA6CA7"/>
    <w:rsid w:val="00DD7179"/>
    <w:rsid w:val="00DD7ADB"/>
    <w:rsid w:val="00DE5859"/>
    <w:rsid w:val="00DF2F10"/>
    <w:rsid w:val="00DF4C65"/>
    <w:rsid w:val="00DF5A9C"/>
    <w:rsid w:val="00E068E5"/>
    <w:rsid w:val="00E15C9A"/>
    <w:rsid w:val="00E217AA"/>
    <w:rsid w:val="00E21813"/>
    <w:rsid w:val="00E2220F"/>
    <w:rsid w:val="00E23E06"/>
    <w:rsid w:val="00E369CF"/>
    <w:rsid w:val="00E474F5"/>
    <w:rsid w:val="00E63ADA"/>
    <w:rsid w:val="00E66916"/>
    <w:rsid w:val="00E8582C"/>
    <w:rsid w:val="00EA025F"/>
    <w:rsid w:val="00EA0E95"/>
    <w:rsid w:val="00EA0FD8"/>
    <w:rsid w:val="00EA6653"/>
    <w:rsid w:val="00EC02BA"/>
    <w:rsid w:val="00EC09BB"/>
    <w:rsid w:val="00EC17AB"/>
    <w:rsid w:val="00ED1AD6"/>
    <w:rsid w:val="00ED3A43"/>
    <w:rsid w:val="00EF1B07"/>
    <w:rsid w:val="00EF6FC1"/>
    <w:rsid w:val="00F20072"/>
    <w:rsid w:val="00F20FFA"/>
    <w:rsid w:val="00F311CD"/>
    <w:rsid w:val="00F32C2B"/>
    <w:rsid w:val="00F40F41"/>
    <w:rsid w:val="00F416A2"/>
    <w:rsid w:val="00F42785"/>
    <w:rsid w:val="00F67B53"/>
    <w:rsid w:val="00F85E31"/>
    <w:rsid w:val="00F86174"/>
    <w:rsid w:val="00F92D57"/>
    <w:rsid w:val="00F9562A"/>
    <w:rsid w:val="00FA1DC7"/>
    <w:rsid w:val="00FB432B"/>
    <w:rsid w:val="00FC0DBA"/>
    <w:rsid w:val="00FC3F1D"/>
    <w:rsid w:val="00FC6F63"/>
    <w:rsid w:val="00FE13C0"/>
    <w:rsid w:val="00FE185A"/>
    <w:rsid w:val="00FE2FD1"/>
    <w:rsid w:val="00FE6EF7"/>
    <w:rsid w:val="00FE7397"/>
    <w:rsid w:val="00FF03C2"/>
    <w:rsid w:val="00FF2582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2BDFD"/>
  <w15:chartTrackingRefBased/>
  <w15:docId w15:val="{504EEECE-29BF-43F5-A000-19959D6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semiHidden/>
    <w:rsid w:val="00FE2FD1"/>
    <w:rPr>
      <w:sz w:val="16"/>
      <w:szCs w:val="16"/>
    </w:rPr>
  </w:style>
  <w:style w:type="paragraph" w:styleId="ac">
    <w:name w:val="annotation text"/>
    <w:basedOn w:val="a"/>
    <w:semiHidden/>
    <w:rsid w:val="00FE2FD1"/>
    <w:rPr>
      <w:sz w:val="20"/>
      <w:szCs w:val="20"/>
    </w:rPr>
  </w:style>
  <w:style w:type="paragraph" w:styleId="ad">
    <w:name w:val="annotation subject"/>
    <w:basedOn w:val="ac"/>
    <w:next w:val="ac"/>
    <w:semiHidden/>
    <w:rsid w:val="00FE2FD1"/>
    <w:rPr>
      <w:b/>
      <w:bCs/>
    </w:rPr>
  </w:style>
  <w:style w:type="paragraph" w:styleId="ae">
    <w:name w:val="Body Text"/>
    <w:basedOn w:val="a"/>
    <w:link w:val="af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">
    <w:name w:val="Основной текст Знак"/>
    <w:link w:val="ae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0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1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rsid w:val="008B0E81"/>
    <w:rPr>
      <w:sz w:val="20"/>
      <w:szCs w:val="20"/>
    </w:rPr>
  </w:style>
  <w:style w:type="character" w:customStyle="1" w:styleId="af3">
    <w:name w:val="Текст сноски Знак"/>
    <w:link w:val="af2"/>
    <w:rsid w:val="008B0E81"/>
    <w:rPr>
      <w:rFonts w:ascii="Calibri" w:hAnsi="Calibri"/>
      <w:lang w:eastAsia="en-US"/>
    </w:rPr>
  </w:style>
  <w:style w:type="character" w:styleId="af4">
    <w:name w:val="footnote reference"/>
    <w:rsid w:val="008B0E81"/>
    <w:rPr>
      <w:vertAlign w:val="superscript"/>
    </w:rPr>
  </w:style>
  <w:style w:type="paragraph" w:styleId="af5">
    <w:name w:val="Normal (Web)"/>
    <w:basedOn w:val="a"/>
    <w:uiPriority w:val="99"/>
    <w:unhideWhenUsed/>
    <w:rsid w:val="00330A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63073E0E4C8CD5583E95BFC196" ma:contentTypeVersion="14" ma:contentTypeDescription="Create a new document." ma:contentTypeScope="" ma:versionID="1b94dc7a19d3e99919f0ff86b332c272">
  <xsd:schema xmlns:xsd="http://www.w3.org/2001/XMLSchema" xmlns:xs="http://www.w3.org/2001/XMLSchema" xmlns:p="http://schemas.microsoft.com/office/2006/metadata/properties" xmlns:ns3="fbd101d8-d1fb-4150-b068-7cb192355cd4" xmlns:ns4="0d3ab425-5915-477a-a24e-bc49352bf78e" targetNamespace="http://schemas.microsoft.com/office/2006/metadata/properties" ma:root="true" ma:fieldsID="f619849c68ee491a5df645c72455731c" ns3:_="" ns4:_="">
    <xsd:import namespace="fbd101d8-d1fb-4150-b068-7cb192355cd4"/>
    <xsd:import namespace="0d3ab425-5915-477a-a24e-bc49352bf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101d8-d1fb-4150-b068-7cb19235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b425-5915-477a-a24e-bc49352b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4CD5-7E3C-48C1-95DF-2EAED0C4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8F875-9A9F-4008-A61A-6620CE1B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0CF4-4983-4C2D-9FE4-75F0A789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101d8-d1fb-4150-b068-7cb192355cd4"/>
    <ds:schemaRef ds:uri="0d3ab425-5915-477a-a24e-bc49352b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E7097-83EC-43A7-A804-FD17F809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/>
  <LinksUpToDate>false</LinksUpToDate>
  <CharactersWithSpaces>5615</CharactersWithSpaces>
  <SharedDoc>false</SharedDoc>
  <HLinks>
    <vt:vector size="18" baseType="variant"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http://www.consultant.ru/document/cons_s_4E4083F3457C99711A40FD9DE32BB7AECF01256E2CF283A96BD6AC91C6C95A53/</vt:lpwstr>
      </vt:variant>
      <vt:variant>
        <vt:lpwstr/>
      </vt:variant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https://www.clinicaltrialsregister.eu/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subject/>
  <dc:creator>1</dc:creator>
  <cp:keywords/>
  <dc:description/>
  <cp:lastModifiedBy>Windows User</cp:lastModifiedBy>
  <cp:revision>16</cp:revision>
  <cp:lastPrinted>2025-04-08T13:23:00Z</cp:lastPrinted>
  <dcterms:created xsi:type="dcterms:W3CDTF">2022-04-19T07:35:00Z</dcterms:created>
  <dcterms:modified xsi:type="dcterms:W3CDTF">2025-04-08T13:23:00Z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2021-12-27T14:21:16Z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4b13ea45-f63d-4d47-8ea0-7326ceb01dc8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0x0101000973FD63073E0E4C8CD5583E95BFC196</vt:lpwstr>
  </property>
</Properties>
</file>